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DD6276">
        <w:rPr>
          <w:sz w:val="28"/>
          <w:szCs w:val="28"/>
        </w:rPr>
        <w:t xml:space="preserve"> </w:t>
      </w:r>
      <w:r w:rsidR="00FC3CBF">
        <w:rPr>
          <w:sz w:val="28"/>
          <w:szCs w:val="28"/>
        </w:rPr>
        <w:t>учета ТОУФК бюджетных и </w:t>
      </w:r>
      <w:r w:rsidR="001802BD" w:rsidRPr="00293CFA">
        <w:rPr>
          <w:sz w:val="28"/>
          <w:szCs w:val="28"/>
        </w:rPr>
        <w:t xml:space="preserve">денежных обязательств получателей средств </w:t>
      </w:r>
      <w:r w:rsidR="0061461A">
        <w:rPr>
          <w:sz w:val="28"/>
          <w:szCs w:val="28"/>
        </w:rPr>
        <w:t>местного</w:t>
      </w:r>
      <w:r w:rsidR="00BF5785">
        <w:rPr>
          <w:sz w:val="28"/>
          <w:szCs w:val="28"/>
        </w:rPr>
        <w:t xml:space="preserve"> бюджета </w:t>
      </w:r>
    </w:p>
    <w:p w:rsidR="00244EEE" w:rsidRPr="00293CFA" w:rsidRDefault="00244EEE" w:rsidP="00244EEE"/>
    <w:p w:rsidR="00244EEE" w:rsidRPr="00293CFA" w:rsidRDefault="00244EEE" w:rsidP="00244EEE"/>
    <w:p w:rsidR="00293CFA" w:rsidRPr="00293CFA" w:rsidRDefault="00293CFA" w:rsidP="00244EEE"/>
    <w:p w:rsidR="00244EEE" w:rsidRPr="00293CFA" w:rsidRDefault="00244EEE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BF5785"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бюджетные</w:t>
      </w:r>
      <w:proofErr w:type="gramEnd"/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6146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</w:t>
      </w:r>
      <w:r w:rsidR="00293CFA" w:rsidRPr="00EA3474">
        <w:rPr>
          <w:sz w:val="28"/>
          <w:szCs w:val="28"/>
          <w:lang w:eastAsia="en-US"/>
        </w:rPr>
        <w:t>,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</w:t>
      </w:r>
      <w:r w:rsidR="00BF578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получателей средств </w:t>
      </w:r>
      <w:r w:rsidR="0061461A">
        <w:rPr>
          <w:sz w:val="28"/>
          <w:szCs w:val="28"/>
          <w:lang w:eastAsia="en-US"/>
        </w:rPr>
        <w:t>местного</w:t>
      </w:r>
      <w:r w:rsidR="00BF5785">
        <w:rPr>
          <w:sz w:val="28"/>
          <w:szCs w:val="28"/>
          <w:lang w:eastAsia="en-US"/>
        </w:rPr>
        <w:t xml:space="preserve"> бюджета 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4757"/>
      </w:tblGrid>
      <w:tr w:rsidR="00293CFA" w:rsidRPr="00293CFA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293CFA">
              <w:rPr>
                <w:sz w:val="28"/>
                <w:szCs w:val="28"/>
                <w:lang w:eastAsia="en-US"/>
              </w:rPr>
              <w:t>/</w:t>
            </w:r>
            <w:proofErr w:type="spellStart"/>
            <w:r w:rsidRPr="00293CFA"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5C7AE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5C7AE2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</w:t>
            </w:r>
            <w:proofErr w:type="spellStart"/>
            <w:r w:rsidR="00293CFA" w:rsidRPr="00293CFA">
              <w:rPr>
                <w:sz w:val="28"/>
                <w:szCs w:val="28"/>
                <w:lang w:eastAsia="en-US"/>
              </w:rPr>
              <w:t>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</w:t>
            </w:r>
            <w:proofErr w:type="spellEnd"/>
            <w:r w:rsidR="006E7DCF" w:rsidRPr="006E7DCF">
              <w:rPr>
                <w:sz w:val="28"/>
                <w:szCs w:val="28"/>
                <w:lang w:eastAsia="en-US"/>
              </w:rPr>
              <w:t xml:space="preserve">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6E7D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E5247B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76EA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lastRenderedPageBreak/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proofErr w:type="gramStart"/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>б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юджетных инвестиций юридическому лицу), сведения </w:t>
            </w:r>
            <w:proofErr w:type="spellStart"/>
            <w:r w:rsidRPr="00293CFA">
              <w:rPr>
                <w:sz w:val="28"/>
                <w:szCs w:val="28"/>
                <w:lang w:eastAsia="en-US"/>
              </w:rPr>
              <w:t>окотором</w:t>
            </w:r>
            <w:proofErr w:type="spellEnd"/>
            <w:r w:rsidRPr="00293CFA">
              <w:rPr>
                <w:sz w:val="28"/>
                <w:szCs w:val="28"/>
                <w:lang w:eastAsia="en-US"/>
              </w:rPr>
              <w:t xml:space="preserve"> подлежат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5C7AE2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3C7DBA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</w:t>
            </w:r>
            <w:proofErr w:type="gramStart"/>
            <w:r w:rsidRPr="00293CFA">
              <w:rPr>
                <w:sz w:val="28"/>
                <w:szCs w:val="28"/>
                <w:lang w:eastAsia="en-US"/>
              </w:rPr>
              <w:t>подлежат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либо не подлежат включению в реестр соглашений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152B2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BB3F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B860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proofErr w:type="gramStart"/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,</w:t>
            </w:r>
            <w:proofErr w:type="gramEnd"/>
            <w:r w:rsidRPr="00293CFA">
              <w:rPr>
                <w:sz w:val="28"/>
                <w:szCs w:val="28"/>
                <w:lang w:eastAsia="en-US"/>
              </w:rPr>
              <w:t xml:space="preserve">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исполнительного документа</w:t>
            </w:r>
          </w:p>
        </w:tc>
      </w:tr>
      <w:tr w:rsidR="00293CFA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бюджета, возникшему на основании решения налогового органа</w:t>
            </w:r>
          </w:p>
        </w:tc>
      </w:tr>
      <w:tr w:rsidR="00F10468" w:rsidRPr="00293CFA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BB6F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</w:p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E524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BF5785">
              <w:rPr>
                <w:sz w:val="28"/>
                <w:szCs w:val="28"/>
                <w:lang w:eastAsia="en-US"/>
              </w:rPr>
              <w:t xml:space="preserve"> </w:t>
            </w:r>
            <w:r w:rsidRPr="00293CFA">
              <w:rPr>
                <w:sz w:val="28"/>
                <w:szCs w:val="28"/>
                <w:lang w:eastAsia="en-US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0A41C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1065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BF5785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BF5785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61461A">
              <w:rPr>
                <w:sz w:val="28"/>
                <w:szCs w:val="28"/>
                <w:lang w:eastAsia="en-US"/>
              </w:rPr>
              <w:t>местного</w:t>
            </w:r>
            <w:r w:rsidR="006438FC">
              <w:rPr>
                <w:sz w:val="28"/>
                <w:szCs w:val="28"/>
                <w:lang w:eastAsia="en-US"/>
              </w:rPr>
              <w:t xml:space="preserve"> </w:t>
            </w:r>
            <w:r w:rsidRPr="00F352DE">
              <w:rPr>
                <w:sz w:val="28"/>
                <w:szCs w:val="28"/>
                <w:lang w:eastAsia="en-US"/>
              </w:rPr>
              <w:t>бюджета</w:t>
            </w:r>
          </w:p>
        </w:tc>
        <w:bookmarkStart w:id="3" w:name="_GoBack"/>
        <w:bookmarkEnd w:id="3"/>
      </w:tr>
    </w:tbl>
    <w:p w:rsidR="00293CFA" w:rsidRPr="00293CFA" w:rsidRDefault="00293CFA" w:rsidP="00293CF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sectPr w:rsidR="00293CFA" w:rsidRPr="00293CFA" w:rsidSect="00AE53EE">
      <w:headerReference w:type="default" r:id="rId1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276" w:rsidRDefault="00DD6276" w:rsidP="00AE53EE">
      <w:r>
        <w:separator/>
      </w:r>
    </w:p>
  </w:endnote>
  <w:endnote w:type="continuationSeparator" w:id="0">
    <w:p w:rsidR="00DD6276" w:rsidRDefault="00DD6276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276" w:rsidRDefault="00DD6276" w:rsidP="00AE53EE">
      <w:r>
        <w:separator/>
      </w:r>
    </w:p>
  </w:footnote>
  <w:footnote w:type="continuationSeparator" w:id="0">
    <w:p w:rsidR="00DD6276" w:rsidRDefault="00DD6276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</w:sdtPr>
    <w:sdtContent>
      <w:p w:rsidR="00DD6276" w:rsidRDefault="00DD6276">
        <w:pPr>
          <w:pStyle w:val="a4"/>
          <w:jc w:val="right"/>
        </w:pPr>
        <w:fldSimple w:instr="PAGE   \* MERGEFORMAT">
          <w:r>
            <w:rPr>
              <w:noProof/>
            </w:rPr>
            <w:t>7</w:t>
          </w:r>
        </w:fldSimple>
      </w:p>
    </w:sdtContent>
  </w:sdt>
  <w:p w:rsidR="00DD6276" w:rsidRDefault="00DD627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EE"/>
    <w:rsid w:val="00076EAC"/>
    <w:rsid w:val="000A41C8"/>
    <w:rsid w:val="000E2049"/>
    <w:rsid w:val="001025BE"/>
    <w:rsid w:val="0010656D"/>
    <w:rsid w:val="00143B1D"/>
    <w:rsid w:val="00152B2E"/>
    <w:rsid w:val="001802BD"/>
    <w:rsid w:val="00244EEE"/>
    <w:rsid w:val="00293CFA"/>
    <w:rsid w:val="002C4B28"/>
    <w:rsid w:val="002D2417"/>
    <w:rsid w:val="00331D3B"/>
    <w:rsid w:val="00381F2E"/>
    <w:rsid w:val="00385D85"/>
    <w:rsid w:val="003B3E87"/>
    <w:rsid w:val="003C3080"/>
    <w:rsid w:val="003C7DBA"/>
    <w:rsid w:val="003E7E37"/>
    <w:rsid w:val="00485AEF"/>
    <w:rsid w:val="004B3282"/>
    <w:rsid w:val="004F4B8D"/>
    <w:rsid w:val="004F5DF0"/>
    <w:rsid w:val="0051443D"/>
    <w:rsid w:val="00526131"/>
    <w:rsid w:val="00547DB4"/>
    <w:rsid w:val="00577DE3"/>
    <w:rsid w:val="005C7AE2"/>
    <w:rsid w:val="0061461A"/>
    <w:rsid w:val="00616D40"/>
    <w:rsid w:val="0063630B"/>
    <w:rsid w:val="006438FC"/>
    <w:rsid w:val="00680FD9"/>
    <w:rsid w:val="006C65AE"/>
    <w:rsid w:val="006E7DCF"/>
    <w:rsid w:val="007642EA"/>
    <w:rsid w:val="007F05F8"/>
    <w:rsid w:val="00821639"/>
    <w:rsid w:val="0083642D"/>
    <w:rsid w:val="00851F7E"/>
    <w:rsid w:val="008A1442"/>
    <w:rsid w:val="008B1F8C"/>
    <w:rsid w:val="0093285B"/>
    <w:rsid w:val="00934FBB"/>
    <w:rsid w:val="009A2AF3"/>
    <w:rsid w:val="00AB0824"/>
    <w:rsid w:val="00AE53EE"/>
    <w:rsid w:val="00B57039"/>
    <w:rsid w:val="00B61CB8"/>
    <w:rsid w:val="00B8608D"/>
    <w:rsid w:val="00B9068B"/>
    <w:rsid w:val="00BB3F81"/>
    <w:rsid w:val="00BB6F79"/>
    <w:rsid w:val="00BF4A10"/>
    <w:rsid w:val="00BF5785"/>
    <w:rsid w:val="00C339BA"/>
    <w:rsid w:val="00CC46C4"/>
    <w:rsid w:val="00D82C4B"/>
    <w:rsid w:val="00D84A78"/>
    <w:rsid w:val="00DC33A8"/>
    <w:rsid w:val="00DD6276"/>
    <w:rsid w:val="00E3422A"/>
    <w:rsid w:val="00E5247B"/>
    <w:rsid w:val="00E57948"/>
    <w:rsid w:val="00EA3474"/>
    <w:rsid w:val="00EF5D85"/>
    <w:rsid w:val="00F10468"/>
    <w:rsid w:val="00F3264F"/>
    <w:rsid w:val="00F352DE"/>
    <w:rsid w:val="00F37F00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7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Admin43</cp:lastModifiedBy>
  <cp:revision>37</cp:revision>
  <cp:lastPrinted>2021-08-23T05:10:00Z</cp:lastPrinted>
  <dcterms:created xsi:type="dcterms:W3CDTF">2016-09-08T04:36:00Z</dcterms:created>
  <dcterms:modified xsi:type="dcterms:W3CDTF">2021-08-23T05:27:00Z</dcterms:modified>
</cp:coreProperties>
</file>